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Правила життя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        Кожен, хто вступив на навчання, повинен розумiти, що у нього з'являється шанс докорiнно змiнити власне життя. Це пов'язано не лише з самостiйним проживанням поза батькiвським домом, без маминих смачних обiдiв та пiдказок тата, брата чи сестри. А й умiнням уже самостiйно налагоджувати контакти з iншими, займатися власними господарчими справами, слiдкувати не лише за чистотою тiла, а й одягу. А також турбуватися про здоров'я, харчування, а головне - про навчання. Бо саме ради цього й змiнюєш своє звичне життя.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        Доведеться самостiйно розподiляти час: пiдготуватися до урокiв, сходити на прогулянку, навести лад у кiмнатi та в думках. А потiм iз чистою совiстю лягти спати, звiсно, якщо тривога не завадить.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         Також з'явиться можливiсть, врахувавши попереднiй досвiд, виправити та пiдкорегувати власну поведiнку, змiнити категоричнiсть на лояльнiсть, проявити милосердя та спiвчуття. А поряд iз цим - залишатися собою, не відступати вiд принципiв.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 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