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AF3C0A" w:rsidRDefault="0064121C" w:rsidP="001D25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</w:p>
    <w:p w:rsidR="00AF3C0A" w:rsidRPr="00AF3C0A" w:rsidRDefault="00AF3C0A" w:rsidP="00AF3C0A">
      <w:pPr>
        <w:pStyle w:val="1"/>
        <w:jc w:val="both"/>
        <w:rPr>
          <w:sz w:val="28"/>
          <w:szCs w:val="28"/>
        </w:rPr>
      </w:pP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 xml:space="preserve">, </w:t>
      </w:r>
      <w:proofErr w:type="spellStart"/>
      <w:r w:rsidRPr="00AF3C0A">
        <w:rPr>
          <w:sz w:val="28"/>
          <w:szCs w:val="28"/>
        </w:rPr>
        <w:t>квасоля</w:t>
      </w:r>
      <w:proofErr w:type="spellEnd"/>
      <w:r w:rsidRPr="00AF3C0A">
        <w:rPr>
          <w:sz w:val="28"/>
          <w:szCs w:val="28"/>
        </w:rPr>
        <w:t xml:space="preserve"> код </w:t>
      </w:r>
      <w:proofErr w:type="spellStart"/>
      <w:r w:rsidRPr="00AF3C0A">
        <w:rPr>
          <w:sz w:val="28"/>
          <w:szCs w:val="28"/>
        </w:rPr>
        <w:t>згідно</w:t>
      </w:r>
      <w:proofErr w:type="spellEnd"/>
      <w:r w:rsidRPr="00AF3C0A">
        <w:rPr>
          <w:sz w:val="28"/>
          <w:szCs w:val="28"/>
        </w:rPr>
        <w:t xml:space="preserve"> ДК 021:2015 «</w:t>
      </w:r>
      <w:proofErr w:type="spellStart"/>
      <w:r w:rsidRPr="00AF3C0A">
        <w:rPr>
          <w:sz w:val="28"/>
          <w:szCs w:val="28"/>
        </w:rPr>
        <w:t>Єдиний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закупівельний</w:t>
      </w:r>
      <w:proofErr w:type="spellEnd"/>
      <w:r w:rsidRPr="00AF3C0A">
        <w:rPr>
          <w:sz w:val="28"/>
          <w:szCs w:val="28"/>
        </w:rPr>
        <w:t xml:space="preserve"> словник» 03210000-6 «</w:t>
      </w:r>
      <w:proofErr w:type="spellStart"/>
      <w:r w:rsidRPr="00AF3C0A">
        <w:rPr>
          <w:sz w:val="28"/>
          <w:szCs w:val="28"/>
        </w:rPr>
        <w:t>Зернові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культури</w:t>
      </w:r>
      <w:proofErr w:type="spellEnd"/>
      <w:r w:rsidRPr="00AF3C0A">
        <w:rPr>
          <w:sz w:val="28"/>
          <w:szCs w:val="28"/>
        </w:rPr>
        <w:t xml:space="preserve"> і </w:t>
      </w: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>»</w:t>
      </w:r>
    </w:p>
    <w:p w:rsidR="0064121C" w:rsidRDefault="00964F1A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4F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4121C" w:rsidRDefault="00AF3C0A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4121C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37092D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</w:t>
      </w:r>
      <w:r w:rsidR="0037092D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AF3C0A" w:rsidRPr="00AF3C0A" w:rsidRDefault="00AF3C0A" w:rsidP="00AF3C0A">
      <w:pPr>
        <w:pStyle w:val="1"/>
        <w:jc w:val="both"/>
        <w:rPr>
          <w:sz w:val="28"/>
          <w:szCs w:val="28"/>
        </w:rPr>
      </w:pP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 xml:space="preserve">, </w:t>
      </w:r>
      <w:proofErr w:type="spellStart"/>
      <w:r w:rsidRPr="00AF3C0A">
        <w:rPr>
          <w:sz w:val="28"/>
          <w:szCs w:val="28"/>
        </w:rPr>
        <w:t>квасоля</w:t>
      </w:r>
      <w:proofErr w:type="spellEnd"/>
      <w:r w:rsidRPr="00AF3C0A">
        <w:rPr>
          <w:sz w:val="28"/>
          <w:szCs w:val="28"/>
        </w:rPr>
        <w:t xml:space="preserve"> код </w:t>
      </w:r>
      <w:proofErr w:type="spellStart"/>
      <w:r w:rsidRPr="00AF3C0A">
        <w:rPr>
          <w:sz w:val="28"/>
          <w:szCs w:val="28"/>
        </w:rPr>
        <w:t>згідно</w:t>
      </w:r>
      <w:proofErr w:type="spellEnd"/>
      <w:r w:rsidRPr="00AF3C0A">
        <w:rPr>
          <w:sz w:val="28"/>
          <w:szCs w:val="28"/>
        </w:rPr>
        <w:t xml:space="preserve"> ДК 021:2015 «</w:t>
      </w:r>
      <w:proofErr w:type="spellStart"/>
      <w:r w:rsidRPr="00AF3C0A">
        <w:rPr>
          <w:sz w:val="28"/>
          <w:szCs w:val="28"/>
        </w:rPr>
        <w:t>Єдиний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закупівельний</w:t>
      </w:r>
      <w:proofErr w:type="spellEnd"/>
      <w:r w:rsidRPr="00AF3C0A">
        <w:rPr>
          <w:sz w:val="28"/>
          <w:szCs w:val="28"/>
        </w:rPr>
        <w:t xml:space="preserve"> словник» 03210000-6 «</w:t>
      </w:r>
      <w:proofErr w:type="spellStart"/>
      <w:r w:rsidRPr="00AF3C0A">
        <w:rPr>
          <w:sz w:val="28"/>
          <w:szCs w:val="28"/>
        </w:rPr>
        <w:t>Зернові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культури</w:t>
      </w:r>
      <w:proofErr w:type="spellEnd"/>
      <w:r w:rsidRPr="00AF3C0A">
        <w:rPr>
          <w:sz w:val="28"/>
          <w:szCs w:val="28"/>
        </w:rPr>
        <w:t xml:space="preserve"> і </w:t>
      </w: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>»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AF3C0A" w:rsidRPr="00AF3C0A" w:rsidRDefault="00AF3C0A" w:rsidP="00AF3C0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AF3C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Картопля -15 000 кг.</w:t>
      </w:r>
    </w:p>
    <w:p w:rsidR="0083341B" w:rsidRPr="00AF3C0A" w:rsidRDefault="00B92CAC" w:rsidP="00AF3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Квасоля -240</w:t>
      </w:r>
      <w:r w:rsidR="00AF3C0A" w:rsidRPr="00AF3C0A">
        <w:rPr>
          <w:rFonts w:ascii="Times New Roman" w:eastAsia="Times New Roman" w:hAnsi="Times New Roman" w:cs="Times New Roman"/>
          <w:sz w:val="28"/>
          <w:szCs w:val="28"/>
          <w:lang w:val="uk-UA"/>
        </w:rPr>
        <w:t>кг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B92CAC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964F1A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</w:t>
      </w:r>
      <w:r w:rsidRP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ідентифікатор процедури закупівлі: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08"/>
      </w:tblGrid>
      <w:tr w:rsidR="00DA6814" w:rsidRPr="00DA6814" w:rsidTr="00DA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814" w:rsidRPr="00DA6814" w:rsidRDefault="00DA6814" w:rsidP="00DA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6814" w:rsidRPr="00DA6814" w:rsidRDefault="00DA6814" w:rsidP="00DA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UA-2024-01-17-003806-a" w:history="1">
              <w:r w:rsidRPr="00DA681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UA-2024-01-17-003806-a</w:t>
              </w:r>
            </w:hyperlink>
          </w:p>
        </w:tc>
      </w:tr>
      <w:tr w:rsidR="00DA6814" w:rsidRPr="00DA6814" w:rsidTr="00DA6814">
        <w:trPr>
          <w:tblCellSpacing w:w="15" w:type="dxa"/>
        </w:trPr>
        <w:tc>
          <w:tcPr>
            <w:tcW w:w="0" w:type="auto"/>
            <w:vAlign w:val="center"/>
          </w:tcPr>
          <w:p w:rsidR="00DA6814" w:rsidRPr="00DA6814" w:rsidRDefault="00DA6814" w:rsidP="00DA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A6814" w:rsidRPr="00DA6814" w:rsidRDefault="00DA6814" w:rsidP="00DA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1E0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Pr="00E8382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57"/>
        <w:gridCol w:w="826"/>
        <w:gridCol w:w="825"/>
        <w:gridCol w:w="1101"/>
        <w:gridCol w:w="3580"/>
        <w:gridCol w:w="941"/>
        <w:gridCol w:w="1281"/>
      </w:tblGrid>
      <w:tr w:rsidR="008561E0" w:rsidRPr="00B72C23" w:rsidTr="008819FC">
        <w:trPr>
          <w:trHeight w:val="59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r w:rsidRPr="00B72C23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Найменування</w:t>
            </w:r>
            <w:proofErr w:type="spellEnd"/>
            <w:r w:rsidRPr="00B72C23">
              <w:rPr>
                <w:sz w:val="20"/>
                <w:szCs w:val="20"/>
              </w:rPr>
              <w:t xml:space="preserve">, </w:t>
            </w:r>
            <w:proofErr w:type="spellStart"/>
            <w:r w:rsidRPr="00B72C23">
              <w:rPr>
                <w:sz w:val="20"/>
                <w:szCs w:val="20"/>
              </w:rPr>
              <w:t>опис</w:t>
            </w:r>
            <w:proofErr w:type="spellEnd"/>
            <w:r w:rsidRPr="00B72C23"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826" w:type="dxa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25" w:type="dxa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Країна</w:t>
            </w:r>
            <w:proofErr w:type="spellEnd"/>
            <w:r w:rsidRPr="00B72C23">
              <w:rPr>
                <w:sz w:val="20"/>
                <w:szCs w:val="20"/>
              </w:rPr>
              <w:t xml:space="preserve"> </w:t>
            </w:r>
            <w:proofErr w:type="spellStart"/>
            <w:r w:rsidRPr="00B72C23">
              <w:rPr>
                <w:sz w:val="20"/>
                <w:szCs w:val="20"/>
              </w:rPr>
              <w:t>похо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2C23">
              <w:rPr>
                <w:sz w:val="20"/>
                <w:szCs w:val="20"/>
              </w:rPr>
              <w:t>дження</w:t>
            </w:r>
            <w:proofErr w:type="spellEnd"/>
            <w:r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Технічні</w:t>
            </w:r>
            <w:proofErr w:type="spellEnd"/>
            <w:r w:rsidRPr="00B72C23">
              <w:rPr>
                <w:sz w:val="20"/>
                <w:szCs w:val="20"/>
              </w:rPr>
              <w:t xml:space="preserve"> (</w:t>
            </w:r>
            <w:proofErr w:type="spellStart"/>
            <w:r w:rsidRPr="00B72C23">
              <w:rPr>
                <w:sz w:val="20"/>
                <w:szCs w:val="20"/>
              </w:rPr>
              <w:t>якісні</w:t>
            </w:r>
            <w:proofErr w:type="spellEnd"/>
            <w:r w:rsidRPr="00B72C23">
              <w:rPr>
                <w:sz w:val="20"/>
                <w:szCs w:val="20"/>
              </w:rPr>
              <w:t>) характеристики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Виробник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стандарту </w:t>
            </w:r>
            <w:r w:rsidRPr="00B72C23">
              <w:rPr>
                <w:sz w:val="20"/>
                <w:szCs w:val="20"/>
              </w:rPr>
              <w:t>ДСТУ, ТУ</w:t>
            </w:r>
          </w:p>
        </w:tc>
      </w:tr>
      <w:tr w:rsidR="008561E0" w:rsidRPr="00B72C23" w:rsidTr="008819FC">
        <w:trPr>
          <w:trHeight w:val="14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6</w:t>
            </w:r>
          </w:p>
        </w:tc>
      </w:tr>
      <w:tr w:rsidR="008561E0" w:rsidRPr="00B72C23" w:rsidTr="008819FC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8561E0" w:rsidRPr="002540D5" w:rsidRDefault="008561E0" w:rsidP="0088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8561E0" w:rsidRPr="00371F56" w:rsidRDefault="008561E0" w:rsidP="008819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826" w:type="dxa"/>
          </w:tcPr>
          <w:p w:rsidR="008561E0" w:rsidRPr="00371F56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25" w:type="dxa"/>
          </w:tcPr>
          <w:p w:rsidR="008561E0" w:rsidRPr="00371F56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1" w:type="dxa"/>
            <w:shd w:val="clear" w:color="auto" w:fill="auto"/>
          </w:tcPr>
          <w:p w:rsidR="008561E0" w:rsidRPr="00371F56" w:rsidRDefault="008561E0" w:rsidP="008819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8561E0" w:rsidRDefault="008561E0" w:rsidP="00881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Якісні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показники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картоплі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свіжої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продовольчої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мають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всім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встановленим</w:t>
            </w:r>
            <w:proofErr w:type="spellEnd"/>
            <w:r>
              <w:rPr>
                <w:sz w:val="16"/>
                <w:szCs w:val="16"/>
              </w:rPr>
              <w:t xml:space="preserve"> нормативам (</w:t>
            </w:r>
            <w:proofErr w:type="spellStart"/>
            <w:r>
              <w:rPr>
                <w:sz w:val="16"/>
                <w:szCs w:val="16"/>
              </w:rPr>
              <w:t>згідно</w:t>
            </w:r>
            <w:proofErr w:type="spellEnd"/>
            <w:r>
              <w:rPr>
                <w:sz w:val="16"/>
                <w:szCs w:val="16"/>
              </w:rPr>
              <w:t xml:space="preserve"> Закону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 xml:space="preserve"> «Про </w:t>
            </w:r>
            <w:proofErr w:type="spellStart"/>
            <w:r>
              <w:rPr>
                <w:sz w:val="16"/>
                <w:szCs w:val="16"/>
              </w:rPr>
              <w:t>основні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принципи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вимоги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безпечності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якості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харчових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продуктів</w:t>
            </w:r>
            <w:proofErr w:type="spellEnd"/>
            <w:r>
              <w:rPr>
                <w:sz w:val="16"/>
                <w:szCs w:val="16"/>
              </w:rPr>
              <w:t xml:space="preserve">»). </w:t>
            </w:r>
            <w:proofErr w:type="spellStart"/>
            <w:r>
              <w:rPr>
                <w:sz w:val="16"/>
                <w:szCs w:val="16"/>
              </w:rPr>
              <w:t>Бульби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повинні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круглу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овальну</w:t>
            </w:r>
            <w:proofErr w:type="spellEnd"/>
            <w:r>
              <w:rPr>
                <w:sz w:val="16"/>
                <w:szCs w:val="16"/>
              </w:rPr>
              <w:t xml:space="preserve"> форму, </w:t>
            </w:r>
            <w:proofErr w:type="spellStart"/>
            <w:r>
              <w:rPr>
                <w:sz w:val="16"/>
                <w:szCs w:val="16"/>
              </w:rPr>
              <w:t>щільну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тонку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шкірку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білу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м'якоть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Бульби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картоплі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повинні</w:t>
            </w:r>
            <w:proofErr w:type="spellEnd"/>
            <w:r>
              <w:rPr>
                <w:sz w:val="16"/>
                <w:szCs w:val="16"/>
              </w:rPr>
              <w:t xml:space="preserve"> бути </w:t>
            </w:r>
            <w:proofErr w:type="spellStart"/>
            <w:r>
              <w:rPr>
                <w:sz w:val="16"/>
                <w:szCs w:val="16"/>
              </w:rPr>
              <w:t>цілими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чистими</w:t>
            </w:r>
            <w:proofErr w:type="spellEnd"/>
            <w:r>
              <w:rPr>
                <w:sz w:val="16"/>
                <w:szCs w:val="16"/>
              </w:rPr>
              <w:t xml:space="preserve">, сухими, </w:t>
            </w:r>
            <w:proofErr w:type="spellStart"/>
            <w:r>
              <w:rPr>
                <w:sz w:val="16"/>
                <w:szCs w:val="16"/>
              </w:rPr>
              <w:t>здоровими</w:t>
            </w:r>
            <w:proofErr w:type="spellEnd"/>
            <w:r>
              <w:rPr>
                <w:sz w:val="16"/>
                <w:szCs w:val="16"/>
              </w:rPr>
              <w:t xml:space="preserve">, не </w:t>
            </w:r>
            <w:proofErr w:type="spellStart"/>
            <w:r>
              <w:rPr>
                <w:sz w:val="16"/>
                <w:szCs w:val="16"/>
              </w:rPr>
              <w:t>пророслими</w:t>
            </w:r>
            <w:proofErr w:type="spellEnd"/>
            <w:r>
              <w:rPr>
                <w:sz w:val="16"/>
                <w:szCs w:val="16"/>
              </w:rPr>
              <w:t xml:space="preserve"> і не </w:t>
            </w:r>
            <w:proofErr w:type="spellStart"/>
            <w:r>
              <w:rPr>
                <w:sz w:val="16"/>
                <w:szCs w:val="16"/>
              </w:rPr>
              <w:t>зів'ялими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Картопля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відповідати</w:t>
            </w:r>
            <w:proofErr w:type="spellEnd"/>
            <w:r>
              <w:rPr>
                <w:sz w:val="16"/>
                <w:szCs w:val="16"/>
              </w:rPr>
              <w:t xml:space="preserve"> за формою і </w:t>
            </w:r>
            <w:proofErr w:type="spellStart"/>
            <w:r>
              <w:rPr>
                <w:sz w:val="16"/>
                <w:szCs w:val="16"/>
              </w:rPr>
              <w:t>забарвленням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Картопля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надходити</w:t>
            </w:r>
            <w:proofErr w:type="spellEnd"/>
            <w:r>
              <w:rPr>
                <w:sz w:val="16"/>
                <w:szCs w:val="16"/>
              </w:rPr>
              <w:t xml:space="preserve"> без </w:t>
            </w:r>
            <w:proofErr w:type="spellStart"/>
            <w:r>
              <w:rPr>
                <w:sz w:val="16"/>
                <w:szCs w:val="16"/>
              </w:rPr>
              <w:t>дефектів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обчищеною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землі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Наявність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бульб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механічними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пошкодженнями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більше</w:t>
            </w:r>
            <w:proofErr w:type="spellEnd"/>
            <w:r>
              <w:rPr>
                <w:sz w:val="16"/>
                <w:szCs w:val="16"/>
              </w:rPr>
              <w:t xml:space="preserve"> 5%, </w:t>
            </w:r>
            <w:proofErr w:type="spellStart"/>
            <w:r>
              <w:rPr>
                <w:sz w:val="16"/>
                <w:szCs w:val="16"/>
              </w:rPr>
              <w:t>наявність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землі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прилипла до </w:t>
            </w:r>
            <w:proofErr w:type="spellStart"/>
            <w:r>
              <w:rPr>
                <w:sz w:val="16"/>
                <w:szCs w:val="16"/>
              </w:rPr>
              <w:t>бульб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більше</w:t>
            </w:r>
            <w:proofErr w:type="spellEnd"/>
            <w:r>
              <w:rPr>
                <w:sz w:val="16"/>
                <w:szCs w:val="16"/>
              </w:rPr>
              <w:t xml:space="preserve"> 1%. Не </w:t>
            </w:r>
            <w:proofErr w:type="spellStart"/>
            <w:r>
              <w:rPr>
                <w:sz w:val="16"/>
                <w:szCs w:val="16"/>
              </w:rPr>
              <w:t>допускаються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бульби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позеленілі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зів'ялі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роздавлені</w:t>
            </w:r>
            <w:proofErr w:type="spellEnd"/>
            <w:r>
              <w:rPr>
                <w:sz w:val="16"/>
                <w:szCs w:val="16"/>
              </w:rPr>
              <w:t xml:space="preserve">, половинками, </w:t>
            </w:r>
            <w:proofErr w:type="spellStart"/>
            <w:r>
              <w:rPr>
                <w:sz w:val="16"/>
                <w:szCs w:val="16"/>
              </w:rPr>
              <w:t>пошкоджені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гризунами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гниллю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фітофторою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підморожені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запарені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61E0" w:rsidRDefault="008561E0" w:rsidP="0088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Продукція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буде </w:t>
            </w:r>
            <w:proofErr w:type="spellStart"/>
            <w:r>
              <w:rPr>
                <w:sz w:val="16"/>
                <w:szCs w:val="16"/>
              </w:rPr>
              <w:t>поставлятись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згідно</w:t>
            </w:r>
            <w:proofErr w:type="spellEnd"/>
            <w:r>
              <w:rPr>
                <w:sz w:val="16"/>
                <w:szCs w:val="16"/>
              </w:rPr>
              <w:t xml:space="preserve"> з договором по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цінових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пропозицій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відповідати</w:t>
            </w:r>
            <w:proofErr w:type="spellEnd"/>
            <w:r>
              <w:rPr>
                <w:sz w:val="16"/>
                <w:szCs w:val="16"/>
              </w:rPr>
              <w:t xml:space="preserve"> ГОСТ, ДСТУ, ТУ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які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встановлені</w:t>
            </w:r>
            <w:proofErr w:type="spellEnd"/>
            <w:r>
              <w:rPr>
                <w:sz w:val="16"/>
                <w:szCs w:val="16"/>
              </w:rPr>
              <w:t xml:space="preserve"> для </w:t>
            </w:r>
            <w:proofErr w:type="spellStart"/>
            <w:r>
              <w:rPr>
                <w:sz w:val="16"/>
                <w:szCs w:val="16"/>
              </w:rPr>
              <w:t>відповідного</w:t>
            </w:r>
            <w:proofErr w:type="spellEnd"/>
            <w:r>
              <w:rPr>
                <w:sz w:val="16"/>
                <w:szCs w:val="16"/>
              </w:rPr>
              <w:t xml:space="preserve"> виду </w:t>
            </w:r>
            <w:proofErr w:type="spellStart"/>
            <w:r>
              <w:rPr>
                <w:sz w:val="16"/>
                <w:szCs w:val="16"/>
              </w:rPr>
              <w:t>продукції</w:t>
            </w:r>
            <w:proofErr w:type="spellEnd"/>
            <w:r>
              <w:rPr>
                <w:sz w:val="16"/>
                <w:szCs w:val="16"/>
              </w:rPr>
              <w:t xml:space="preserve"> та не </w:t>
            </w:r>
            <w:proofErr w:type="spellStart"/>
            <w:r>
              <w:rPr>
                <w:sz w:val="16"/>
                <w:szCs w:val="16"/>
              </w:rPr>
              <w:t>містити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генетично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модифікованих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організмів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61E0" w:rsidRDefault="008561E0" w:rsidP="008819FC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Доставка </w:t>
            </w:r>
            <w:proofErr w:type="spellStart"/>
            <w:r>
              <w:rPr>
                <w:sz w:val="16"/>
                <w:szCs w:val="16"/>
              </w:rPr>
              <w:t>продукції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здійснюватись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rFonts w:ascii="Times New Roman" w:hAnsi="Times New Roman" w:cs="Times New Roman"/>
                <w:sz w:val="16"/>
                <w:szCs w:val="16"/>
              </w:rPr>
              <w:t>спеціалізованим</w:t>
            </w:r>
            <w:proofErr w:type="spellEnd"/>
            <w:r>
              <w:rPr>
                <w:sz w:val="16"/>
                <w:szCs w:val="16"/>
              </w:rPr>
              <w:t xml:space="preserve"> автотранспортом </w:t>
            </w:r>
            <w:proofErr w:type="spellStart"/>
            <w:r>
              <w:rPr>
                <w:sz w:val="16"/>
                <w:szCs w:val="16"/>
              </w:rPr>
              <w:t>Учасника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Транспортні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засоби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повинні</w:t>
            </w:r>
            <w:proofErr w:type="spellEnd"/>
            <w:r>
              <w:rPr>
                <w:sz w:val="16"/>
                <w:szCs w:val="16"/>
              </w:rPr>
              <w:t xml:space="preserve"> бути </w:t>
            </w:r>
            <w:proofErr w:type="spellStart"/>
            <w:r>
              <w:rPr>
                <w:sz w:val="16"/>
                <w:szCs w:val="16"/>
              </w:rPr>
              <w:t>чистими</w:t>
            </w:r>
            <w:proofErr w:type="spellEnd"/>
            <w:r>
              <w:rPr>
                <w:sz w:val="16"/>
                <w:szCs w:val="16"/>
              </w:rPr>
              <w:t xml:space="preserve">, сухими, без </w:t>
            </w:r>
            <w:proofErr w:type="spellStart"/>
            <w:r>
              <w:rPr>
                <w:sz w:val="16"/>
                <w:szCs w:val="16"/>
              </w:rPr>
              <w:t>стороннього</w:t>
            </w:r>
            <w:proofErr w:type="spellEnd"/>
            <w:r>
              <w:rPr>
                <w:sz w:val="16"/>
                <w:szCs w:val="16"/>
              </w:rPr>
              <w:t xml:space="preserve"> запаху, не </w:t>
            </w:r>
            <w:proofErr w:type="spellStart"/>
            <w:r>
              <w:rPr>
                <w:sz w:val="16"/>
                <w:szCs w:val="16"/>
              </w:rPr>
              <w:t>заражені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сільськогосподарськими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шкідниками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8561E0" w:rsidRDefault="008561E0" w:rsidP="0088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61E0" w:rsidRPr="002B3308" w:rsidTr="008819FC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8561E0" w:rsidRPr="002540D5" w:rsidRDefault="008561E0" w:rsidP="0088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8561E0" w:rsidRDefault="008561E0" w:rsidP="008819F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Квасоля </w:t>
            </w:r>
          </w:p>
        </w:tc>
        <w:tc>
          <w:tcPr>
            <w:tcW w:w="826" w:type="dxa"/>
          </w:tcPr>
          <w:p w:rsidR="008561E0" w:rsidRPr="00E46068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25" w:type="dxa"/>
          </w:tcPr>
          <w:p w:rsidR="008561E0" w:rsidRPr="00E46068" w:rsidRDefault="00B92CAC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  <w:r w:rsidR="00856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8561E0" w:rsidRPr="00371F56" w:rsidRDefault="008561E0" w:rsidP="008819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8561E0" w:rsidRPr="002B3308" w:rsidRDefault="008561E0" w:rsidP="008819FC">
            <w:pPr>
              <w:jc w:val="both"/>
              <w:rPr>
                <w:sz w:val="16"/>
                <w:szCs w:val="16"/>
              </w:rPr>
            </w:pPr>
            <w:proofErr w:type="spellStart"/>
            <w:r w:rsidRPr="002B3308">
              <w:rPr>
                <w:b/>
                <w:i/>
                <w:sz w:val="16"/>
                <w:szCs w:val="16"/>
              </w:rPr>
              <w:t>Квасоля</w:t>
            </w:r>
            <w:proofErr w:type="spellEnd"/>
            <w:r w:rsidRPr="002B3308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біла</w:t>
            </w:r>
            <w:proofErr w:type="spellEnd"/>
            <w:r w:rsidRPr="002B3308">
              <w:rPr>
                <w:sz w:val="16"/>
                <w:szCs w:val="16"/>
              </w:rPr>
              <w:t>, однотонна урожаю 2022-2023 року.</w:t>
            </w:r>
          </w:p>
          <w:p w:rsidR="008561E0" w:rsidRPr="002B3308" w:rsidRDefault="008561E0" w:rsidP="008819FC">
            <w:pPr>
              <w:jc w:val="both"/>
              <w:rPr>
                <w:sz w:val="16"/>
                <w:szCs w:val="16"/>
              </w:rPr>
            </w:pPr>
            <w:r w:rsidRPr="002B3308">
              <w:rPr>
                <w:sz w:val="16"/>
                <w:szCs w:val="16"/>
              </w:rPr>
              <w:t xml:space="preserve"> Форма – повинна </w:t>
            </w:r>
            <w:proofErr w:type="spellStart"/>
            <w:r w:rsidRPr="002B3308">
              <w:rPr>
                <w:sz w:val="16"/>
                <w:szCs w:val="16"/>
              </w:rPr>
              <w:t>відповідати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даному</w:t>
            </w:r>
            <w:proofErr w:type="spellEnd"/>
            <w:r w:rsidRPr="002B3308">
              <w:rPr>
                <w:sz w:val="16"/>
                <w:szCs w:val="16"/>
              </w:rPr>
              <w:t xml:space="preserve"> виду </w:t>
            </w:r>
            <w:proofErr w:type="spellStart"/>
            <w:r w:rsidRPr="002B3308">
              <w:rPr>
                <w:sz w:val="16"/>
                <w:szCs w:val="16"/>
              </w:rPr>
              <w:t>квасолі</w:t>
            </w:r>
            <w:proofErr w:type="spellEnd"/>
            <w:r w:rsidRPr="002B3308">
              <w:rPr>
                <w:b/>
                <w:i/>
                <w:sz w:val="16"/>
                <w:szCs w:val="16"/>
              </w:rPr>
              <w:t>.</w:t>
            </w:r>
            <w:r w:rsidRPr="002B3308">
              <w:rPr>
                <w:sz w:val="16"/>
                <w:szCs w:val="16"/>
              </w:rPr>
              <w:t xml:space="preserve"> Чиста без </w:t>
            </w:r>
            <w:proofErr w:type="spellStart"/>
            <w:r w:rsidRPr="002B3308">
              <w:rPr>
                <w:sz w:val="16"/>
                <w:szCs w:val="16"/>
              </w:rPr>
              <w:t>різних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домішок</w:t>
            </w:r>
            <w:proofErr w:type="spellEnd"/>
            <w:r w:rsidRPr="002B3308">
              <w:rPr>
                <w:sz w:val="16"/>
                <w:szCs w:val="16"/>
              </w:rPr>
              <w:t xml:space="preserve">, без затхлого, </w:t>
            </w:r>
            <w:proofErr w:type="spellStart"/>
            <w:r w:rsidRPr="002B3308">
              <w:rPr>
                <w:sz w:val="16"/>
                <w:szCs w:val="16"/>
              </w:rPr>
              <w:t>пліснявого</w:t>
            </w:r>
            <w:proofErr w:type="spellEnd"/>
            <w:r w:rsidRPr="002B3308">
              <w:rPr>
                <w:sz w:val="16"/>
                <w:szCs w:val="16"/>
              </w:rPr>
              <w:t xml:space="preserve"> та </w:t>
            </w:r>
            <w:proofErr w:type="spellStart"/>
            <w:r w:rsidRPr="002B3308">
              <w:rPr>
                <w:sz w:val="16"/>
                <w:szCs w:val="16"/>
              </w:rPr>
              <w:t>інших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запахів</w:t>
            </w:r>
            <w:proofErr w:type="spellEnd"/>
            <w:r w:rsidRPr="002B3308">
              <w:rPr>
                <w:sz w:val="16"/>
                <w:szCs w:val="16"/>
              </w:rPr>
              <w:t xml:space="preserve">. Смак </w:t>
            </w:r>
            <w:proofErr w:type="spellStart"/>
            <w:r w:rsidRPr="002B3308">
              <w:rPr>
                <w:sz w:val="16"/>
                <w:szCs w:val="16"/>
              </w:rPr>
              <w:t>притаманний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квасолі</w:t>
            </w:r>
            <w:proofErr w:type="spellEnd"/>
            <w:r w:rsidRPr="002B3308">
              <w:rPr>
                <w:sz w:val="16"/>
                <w:szCs w:val="16"/>
              </w:rPr>
              <w:t xml:space="preserve">, без </w:t>
            </w:r>
            <w:proofErr w:type="spellStart"/>
            <w:r w:rsidRPr="002B3308">
              <w:rPr>
                <w:sz w:val="16"/>
                <w:szCs w:val="16"/>
              </w:rPr>
              <w:t>сторонніх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присмаків</w:t>
            </w:r>
            <w:proofErr w:type="spellEnd"/>
            <w:r w:rsidRPr="002B3308">
              <w:rPr>
                <w:sz w:val="16"/>
                <w:szCs w:val="16"/>
              </w:rPr>
              <w:t xml:space="preserve"> не </w:t>
            </w:r>
            <w:proofErr w:type="spellStart"/>
            <w:r w:rsidRPr="002B3308">
              <w:rPr>
                <w:sz w:val="16"/>
                <w:szCs w:val="16"/>
              </w:rPr>
              <w:t>кислий</w:t>
            </w:r>
            <w:proofErr w:type="spellEnd"/>
            <w:r w:rsidRPr="002B3308">
              <w:rPr>
                <w:sz w:val="16"/>
                <w:szCs w:val="16"/>
              </w:rPr>
              <w:t xml:space="preserve"> та не </w:t>
            </w:r>
            <w:proofErr w:type="spellStart"/>
            <w:r w:rsidRPr="002B3308">
              <w:rPr>
                <w:sz w:val="16"/>
                <w:szCs w:val="16"/>
              </w:rPr>
              <w:t>гіркий</w:t>
            </w:r>
            <w:proofErr w:type="spellEnd"/>
            <w:r w:rsidRPr="002B3308">
              <w:rPr>
                <w:sz w:val="16"/>
                <w:szCs w:val="16"/>
              </w:rPr>
              <w:t>.</w:t>
            </w:r>
          </w:p>
          <w:p w:rsidR="008561E0" w:rsidRPr="002B3308" w:rsidRDefault="008561E0" w:rsidP="008819FC">
            <w:pPr>
              <w:jc w:val="both"/>
              <w:rPr>
                <w:sz w:val="16"/>
                <w:szCs w:val="16"/>
                <w:lang w:val="uk-UA"/>
              </w:rPr>
            </w:pPr>
            <w:r w:rsidRPr="002B3308">
              <w:rPr>
                <w:sz w:val="16"/>
                <w:szCs w:val="16"/>
              </w:rPr>
              <w:t xml:space="preserve">При </w:t>
            </w:r>
            <w:proofErr w:type="spellStart"/>
            <w:r w:rsidRPr="002B3308">
              <w:rPr>
                <w:sz w:val="16"/>
                <w:szCs w:val="16"/>
              </w:rPr>
              <w:t>цьому</w:t>
            </w:r>
            <w:proofErr w:type="spellEnd"/>
            <w:r w:rsidRPr="002B3308">
              <w:rPr>
                <w:sz w:val="16"/>
                <w:szCs w:val="16"/>
              </w:rPr>
              <w:t xml:space="preserve">, </w:t>
            </w:r>
            <w:proofErr w:type="spellStart"/>
            <w:r w:rsidRPr="002B3308">
              <w:rPr>
                <w:sz w:val="16"/>
                <w:szCs w:val="16"/>
              </w:rPr>
              <w:t>якість</w:t>
            </w:r>
            <w:proofErr w:type="spellEnd"/>
            <w:r w:rsidRPr="002B3308">
              <w:rPr>
                <w:sz w:val="16"/>
                <w:szCs w:val="16"/>
              </w:rPr>
              <w:t xml:space="preserve"> повинна </w:t>
            </w:r>
            <w:proofErr w:type="spellStart"/>
            <w:r w:rsidRPr="002B3308">
              <w:rPr>
                <w:sz w:val="16"/>
                <w:szCs w:val="16"/>
              </w:rPr>
              <w:t>відповідати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діючим</w:t>
            </w:r>
            <w:proofErr w:type="spellEnd"/>
            <w:r w:rsidRPr="002B3308">
              <w:rPr>
                <w:sz w:val="16"/>
                <w:szCs w:val="16"/>
              </w:rPr>
              <w:t xml:space="preserve"> на момент </w:t>
            </w:r>
            <w:proofErr w:type="spellStart"/>
            <w:r w:rsidRPr="002B3308">
              <w:rPr>
                <w:sz w:val="16"/>
                <w:szCs w:val="16"/>
              </w:rPr>
              <w:t>проведення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закупівель</w:t>
            </w:r>
            <w:proofErr w:type="spellEnd"/>
            <w:r w:rsidRPr="002B3308">
              <w:rPr>
                <w:sz w:val="16"/>
                <w:szCs w:val="16"/>
              </w:rPr>
              <w:t xml:space="preserve"> ДСТУ, ГОСТ, ТУ. У </w:t>
            </w:r>
            <w:proofErr w:type="spellStart"/>
            <w:r w:rsidRPr="002B3308">
              <w:rPr>
                <w:sz w:val="16"/>
                <w:szCs w:val="16"/>
              </w:rPr>
              <w:t>або</w:t>
            </w:r>
            <w:proofErr w:type="spellEnd"/>
            <w:r w:rsidRPr="002B3308">
              <w:rPr>
                <w:sz w:val="16"/>
                <w:szCs w:val="16"/>
              </w:rPr>
              <w:t xml:space="preserve"> ТУ </w:t>
            </w:r>
            <w:proofErr w:type="spellStart"/>
            <w:r w:rsidRPr="002B3308">
              <w:rPr>
                <w:sz w:val="16"/>
                <w:szCs w:val="16"/>
              </w:rPr>
              <w:t>або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іншому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діючому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8561E0" w:rsidRPr="002B3308" w:rsidRDefault="008561E0" w:rsidP="008819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shd w:val="clear" w:color="auto" w:fill="auto"/>
          </w:tcPr>
          <w:p w:rsidR="008561E0" w:rsidRPr="002B3308" w:rsidRDefault="008561E0" w:rsidP="008819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lastRenderedPageBreak/>
        <w:t>Обґрунтування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lang w:val="uk-UA"/>
        </w:rPr>
        <w:t xml:space="preserve"> </w:t>
      </w:r>
      <w:r>
        <w:rPr>
          <w:rStyle w:val="a5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B92CAC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6814">
        <w:rPr>
          <w:rFonts w:ascii="Times New Roman" w:hAnsi="Times New Roman" w:cs="Times New Roman"/>
          <w:b/>
          <w:sz w:val="28"/>
          <w:szCs w:val="28"/>
          <w:lang w:val="uk-UA"/>
        </w:rPr>
        <w:t>400</w:t>
      </w:r>
      <w:bookmarkStart w:id="0" w:name="_GoBack"/>
      <w:bookmarkEnd w:id="0"/>
      <w:r w:rsidR="0083341B">
        <w:rPr>
          <w:rFonts w:ascii="Times New Roman" w:hAnsi="Times New Roman" w:cs="Times New Roman"/>
          <w:b/>
          <w:sz w:val="28"/>
          <w:szCs w:val="28"/>
          <w:lang w:val="uk-UA"/>
        </w:rPr>
        <w:t> 000,00</w:t>
      </w:r>
      <w:r w:rsid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</w:p>
    <w:p w:rsidR="00953019" w:rsidRDefault="00953019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5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1E0" w:rsidRDefault="008561E0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карт</w:t>
      </w:r>
      <w:r w:rsidR="00B92CAC">
        <w:rPr>
          <w:rStyle w:val="a5"/>
          <w:rFonts w:ascii="Times New Roman" w:hAnsi="Times New Roman" w:cs="Times New Roman"/>
          <w:sz w:val="28"/>
          <w:szCs w:val="28"/>
          <w:lang w:val="uk-UA"/>
        </w:rPr>
        <w:t>оп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ля, квасоля</w:t>
      </w:r>
    </w:p>
    <w:p w:rsidR="008561E0" w:rsidRDefault="008561E0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823B9A">
        <w:rPr>
          <w:rFonts w:ascii="Times New Roman" w:hAnsi="Times New Roman" w:cs="Times New Roman"/>
          <w:sz w:val="28"/>
          <w:szCs w:val="28"/>
        </w:rPr>
        <w:t> 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E46072" w:rsidRPr="002B3308" w:rsidRDefault="00E46072" w:rsidP="00E46072">
      <w:pPr>
        <w:ind w:firstLine="540"/>
        <w:jc w:val="center"/>
        <w:rPr>
          <w:b/>
          <w:sz w:val="20"/>
          <w:szCs w:val="20"/>
          <w:lang w:val="uk-UA"/>
        </w:rPr>
      </w:pPr>
    </w:p>
    <w:p w:rsidR="001D250C" w:rsidRPr="001D250C" w:rsidRDefault="00E46072" w:rsidP="00E46072">
      <w:pPr>
        <w:jc w:val="both"/>
        <w:rPr>
          <w:rFonts w:ascii="Times New Roman" w:hAnsi="Times New Roman" w:cs="Times New Roman"/>
          <w:sz w:val="28"/>
          <w:szCs w:val="28"/>
        </w:rPr>
      </w:pPr>
      <w:r w:rsidRPr="00C60A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товару має відповідати законодавчо встановленим вимогам до товару, що закуповується. К</w:t>
      </w:r>
      <w:r w:rsidR="00B92CAC">
        <w:rPr>
          <w:rFonts w:ascii="Times New Roman" w:eastAsia="Times New Roman" w:hAnsi="Times New Roman" w:cs="Times New Roman"/>
          <w:sz w:val="24"/>
          <w:szCs w:val="24"/>
          <w:lang w:val="uk-UA"/>
        </w:rPr>
        <w:t>артопля повинна бути врожаю 2023-2024</w:t>
      </w:r>
      <w:r w:rsidRPr="00C60A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років.</w:t>
      </w:r>
    </w:p>
    <w:p w:rsidR="008600A4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B92CAC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потреби на 2024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6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1D250C"/>
    <w:rsid w:val="00255706"/>
    <w:rsid w:val="00281D93"/>
    <w:rsid w:val="00293F2A"/>
    <w:rsid w:val="0037092D"/>
    <w:rsid w:val="00540A7B"/>
    <w:rsid w:val="0064121C"/>
    <w:rsid w:val="00714846"/>
    <w:rsid w:val="00776887"/>
    <w:rsid w:val="00823B9A"/>
    <w:rsid w:val="0083341B"/>
    <w:rsid w:val="008561E0"/>
    <w:rsid w:val="008600A4"/>
    <w:rsid w:val="00863EAD"/>
    <w:rsid w:val="008718CB"/>
    <w:rsid w:val="00953019"/>
    <w:rsid w:val="00964F1A"/>
    <w:rsid w:val="00AF3C0A"/>
    <w:rsid w:val="00B92CAC"/>
    <w:rsid w:val="00B97B65"/>
    <w:rsid w:val="00C465D4"/>
    <w:rsid w:val="00D67063"/>
    <w:rsid w:val="00D829E9"/>
    <w:rsid w:val="00D926F7"/>
    <w:rsid w:val="00DA6814"/>
    <w:rsid w:val="00E46072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83341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qFormat/>
    <w:rsid w:val="0083341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D67063"/>
    <w:rPr>
      <w:i/>
      <w:iCs/>
    </w:rPr>
  </w:style>
  <w:style w:type="character" w:styleId="a5">
    <w:name w:val="Strong"/>
    <w:basedOn w:val="a1"/>
    <w:uiPriority w:val="22"/>
    <w:qFormat/>
    <w:rsid w:val="00953019"/>
    <w:rPr>
      <w:b/>
      <w:bCs/>
    </w:rPr>
  </w:style>
  <w:style w:type="paragraph" w:styleId="a6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1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1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2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3341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0">
    <w:name w:val="Заголовок 3 Знак"/>
    <w:basedOn w:val="a1"/>
    <w:link w:val="3"/>
    <w:rsid w:val="0083341B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7"/>
    <w:uiPriority w:val="99"/>
    <w:semiHidden/>
    <w:unhideWhenUsed/>
    <w:rsid w:val="0083341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3341B"/>
  </w:style>
  <w:style w:type="character" w:customStyle="1" w:styleId="nr-t">
    <w:name w:val="nr-t"/>
    <w:basedOn w:val="a1"/>
    <w:rsid w:val="00DA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produkti-harchuvannya/UA-2024-01-17-003806-a-kartoplya-kvasolya-kod-zhidno-dk-021-2015-yedynyj-zakupivelnyj-slovn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27</cp:revision>
  <dcterms:created xsi:type="dcterms:W3CDTF">2021-10-07T11:05:00Z</dcterms:created>
  <dcterms:modified xsi:type="dcterms:W3CDTF">2024-01-26T06:43:00Z</dcterms:modified>
</cp:coreProperties>
</file>